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F33AF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F33AF0" w:rsidRDefault="008F45E7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F33AF0" w:rsidRDefault="008F45E7">
            <w:pPr>
              <w:spacing w:after="0" w:line="240" w:lineRule="auto"/>
            </w:pPr>
            <w:r>
              <w:t>33562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F33AF0" w:rsidRDefault="008F45E7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F33AF0" w:rsidRDefault="008F45E7">
            <w:pPr>
              <w:spacing w:after="0" w:line="240" w:lineRule="auto"/>
            </w:pPr>
            <w:r>
              <w:t>OPĆINA SVETA MARIJA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F33AF0" w:rsidRDefault="008F45E7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F33AF0" w:rsidRDefault="008F45E7">
            <w:pPr>
              <w:spacing w:after="0" w:line="240" w:lineRule="auto"/>
            </w:pPr>
            <w:r>
              <w:t>22</w:t>
            </w:r>
          </w:p>
        </w:tc>
      </w:tr>
    </w:tbl>
    <w:p w:rsidR="00F33AF0" w:rsidRDefault="008F45E7">
      <w:r>
        <w:br/>
      </w:r>
    </w:p>
    <w:p w:rsidR="00F33AF0" w:rsidRDefault="008F45E7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F33AF0" w:rsidRDefault="008F45E7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F33AF0" w:rsidRDefault="008F45E7">
      <w:pPr>
        <w:spacing w:line="240" w:lineRule="auto"/>
        <w:jc w:val="center"/>
      </w:pPr>
      <w:r>
        <w:rPr>
          <w:b/>
          <w:sz w:val="28"/>
        </w:rPr>
        <w:t>I - IX 2026.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1.105.145,70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1.169.784,80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105,8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815.150,94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883.433,95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108,4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F33AF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289.994,76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286.350,85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98,7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2.709,69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655,35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24,2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160.120,78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450.602,03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281,4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F33AF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157.411,09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449.946,68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285,8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(šifre </w:t>
            </w:r>
            <w:r>
              <w:rPr>
                <w:sz w:val="18"/>
              </w:rPr>
              <w:t>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53.089,11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53.089,11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F33AF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53.089,11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53.089,11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F33AF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216.684,94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Za izvještajno razdoblje ukupni prihodi poslovanja (šifra 6) iznose 1.169.784,80 eura i razini su sa prošlogodišnjim prihodima (indeks izvršenja iznosi 105,8). Rashodi poslovanja iznose 883.433,95 eura (šifra 3) i za 68.283,01 euro su veći u odnosu na proš</w:t>
      </w:r>
      <w:r>
        <w:t xml:space="preserve">logodišnje razdoblje pa višak prihoda poslovanja (šifra X001) iznosi 286.350.,85 eura što je za prošlogodišnje razdoblje manje za 71.926,92 eura. U izvještajnom razdoblju ostvareni su ukupni prihodi od prodaje nefinancijske imovine u iznosu od 655,35 eura </w:t>
      </w:r>
      <w:r>
        <w:t xml:space="preserve">što je za 485,66 eura više nego u prošlogodišnjem razdoblju. Ukupni rashodi za nabavu nefinancijske imovine (šifra 4) iznose </w:t>
      </w:r>
      <w:r>
        <w:lastRenderedPageBreak/>
        <w:t>450.602,03 eura i za 290.481,25 eura se veći u odnosu na prošlogodišnje razdoblje. U izvještajnom razdoblju imamo manjak prihoda od</w:t>
      </w:r>
      <w:r>
        <w:t xml:space="preserve"> nefinancijske imovine (šifra Y002) u iznosu od 449.946,68 eura. Tokom izvještajnog razdoblja nije bilo primitaka od financijske imovine i zaduživanja (šifra 8) dok su ukupni izdaci po toj osnovi 53.089,11 eura što je jednako prošlogodišnjem razdoblju i od</w:t>
      </w:r>
      <w:r>
        <w:t xml:space="preserve">nosi se na otplatu glavnice kredita iz ranijeg razdoblja, te je ostvaren manjak po toj osnovi u iznosu od 53.089,11 eura. Na </w:t>
      </w:r>
      <w:proofErr w:type="spellStart"/>
      <w:r>
        <w:t>krajuizvještajnog</w:t>
      </w:r>
      <w:proofErr w:type="spellEnd"/>
      <w:r>
        <w:t xml:space="preserve"> razdoblja ostvaren je manjak prihoda i primitaka (šifra Y003) u iznosu od 216.6884,94 eura dok je za prošlogodišn</w:t>
      </w:r>
      <w:r>
        <w:t>je razdoblje bio ostvaren višak od 79.494,56 eura.</w:t>
      </w:r>
    </w:p>
    <w:p w:rsidR="00F33AF0" w:rsidRDefault="008F45E7">
      <w:r>
        <w:br/>
      </w:r>
    </w:p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poreza (šifre </w:t>
            </w:r>
            <w:r>
              <w:rPr>
                <w:sz w:val="18"/>
              </w:rPr>
              <w:t>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719.584,96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793.648,59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110,3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U izvještajnom razdoblju zabilježen je veći prihod od poreza na dohodak što je rezultat </w:t>
      </w:r>
      <w:proofErr w:type="spellStart"/>
      <w:r>
        <w:t>povečanja</w:t>
      </w:r>
      <w:proofErr w:type="spellEnd"/>
      <w:r>
        <w:t xml:space="preserve"> plaća zaposlenih sa područja naše općine, te novouvedenog poreza na nekretnine. 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</w:t>
            </w:r>
            <w:r>
              <w:rPr>
                <w:b/>
                <w:sz w:val="18"/>
              </w:rPr>
              <w:t xml:space="preserve">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Stalni porezi na nepokretnu imovinu (zemlju, zgrade, kuće i ostalo)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5.092,76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nema indeksa ostvarenja a odnosi se na porez na nekretnine kojeg u prošlogodišnjem razdoblju nije bilo.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</w:t>
            </w:r>
            <w:r>
              <w:rPr>
                <w:b/>
                <w:sz w:val="18"/>
              </w:rPr>
              <w:t>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Povremeni porezi na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10.798,75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12.470,23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115,5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bilježi se veći iznos u odnosu na prošlogodišnje razdoblje a iznos se odnosi na prodaju i kupnju nekretnina što ovisi o broju kupoprodajnih objekata.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</w:t>
            </w:r>
            <w:r>
              <w:rPr>
                <w:b/>
                <w:sz w:val="18"/>
              </w:rPr>
              <w:t>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45.320,00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63.740,00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140,6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toj poziciji se bilježi porast prihoda u odnosu na prošlogodišnje razdoblje a odnosi se na pomoći iz državnog proračuna - Ministarstvo znanosti i obrazovanja za fiskalnu održivost dječjeg vrtića. Dobiveni iznos određuje nadležno Ministarstvo.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>
        <w:rPr>
          <w:sz w:val="28"/>
        </w:rPr>
        <w:t>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zakupa i iznajmljivanja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17.140,86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21.359,32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124,6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Prihod se odnosi na iznos zakupnine poslovnog prostora i u izvještajnom razdoblju je povećanje prihoda po toj osnovi a razlog je u povećanju iznosa mjesečne najamnine.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</w:t>
            </w:r>
            <w:r>
              <w:rPr>
                <w:b/>
                <w:sz w:val="18"/>
              </w:rPr>
              <w:t>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Naknada za korištenje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55.113,45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46.976,59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85,2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Razlog manjeg prihoda po toj osnovi je u količini proizvedene električne </w:t>
      </w:r>
      <w:proofErr w:type="spellStart"/>
      <w:r>
        <w:t>enegrije</w:t>
      </w:r>
      <w:proofErr w:type="spellEnd"/>
      <w:r>
        <w:t xml:space="preserve"> prema čemu se plaća </w:t>
      </w:r>
      <w:proofErr w:type="spellStart"/>
      <w:r>
        <w:t>hidrorenta</w:t>
      </w:r>
      <w:proofErr w:type="spellEnd"/>
      <w:r>
        <w:t>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</w:t>
            </w:r>
            <w:r>
              <w:rPr>
                <w:b/>
                <w:sz w:val="18"/>
              </w:rPr>
              <w:t>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 od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28,1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je manji prihod u izvještajnom razdoblju a odnosi se na naknadu za zadržavanje nezakonito izgrađene zgrade u prostoru.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2.208,83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5.821,34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263,5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je povećanje u odnosu na prošlogodišnje razdoblje a razlog je što se na tom kontu knjižio prihod za koji će se otvoriti novi konto u rebalansu.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</w:t>
            </w:r>
            <w:r>
              <w:rPr>
                <w:b/>
                <w:sz w:val="18"/>
              </w:rPr>
              <w:t>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484,88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42,9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Manji prihod je ostvaren po osnovi komunalnog doprinosa u odnosu na prošlogodišnje razdoblje a to ovisi o novogradnji ili nadograđivanju stambenih i poslovnih objekata.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 i upravne mjere (šifre 6811 do 6819)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132,50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U izvještajnom razdoblju nije bilo razloga za pisanje kazne za komunalne prekršaje pa nema indeksa ostvarenja ove godine.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</w:t>
            </w:r>
            <w:r>
              <w:rPr>
                <w:b/>
                <w:sz w:val="18"/>
              </w:rPr>
              <w:t>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1.931,81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82,8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bilježi se manji iznos spram prošlogodišnjeg razdoblje iz razloga što je u prošloj godini bila isplaćena jubilarna nagrada službenici za 20.g. rada u općini.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</w:t>
            </w:r>
            <w:r>
              <w:rPr>
                <w:b/>
                <w:sz w:val="18"/>
              </w:rPr>
              <w:t>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155,0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Veći iznos se bilježi tokom ove godine što ovisi o potrebama radnih zadataka načelnice i  službenika. 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914,41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703,23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76,9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U prošlogodišnjem razdoblju se isplaćivala naknada za prijevoz na posao radniku na javnim radovima dok tokom ove godine nema javnih radova.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toj poziciji nema indeksa ostvarenja za prošlu godinu dok je tokom ove godine bio jedan plaćeni seminar.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16.367,91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19.799,34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121,0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Cijene energenata diktira tržište pa je tokom ove godine veći iznos po toj osnovi.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5.981,72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7.048,70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117,8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Tokom ove godine je bilo potrebe za nabavom klima </w:t>
      </w:r>
      <w:proofErr w:type="spellStart"/>
      <w:r>
        <w:t>uređeja</w:t>
      </w:r>
      <w:proofErr w:type="spellEnd"/>
      <w:r>
        <w:t xml:space="preserve"> i postavljanjem novih </w:t>
      </w:r>
      <w:proofErr w:type="spellStart"/>
      <w:r>
        <w:t>zavjeca</w:t>
      </w:r>
      <w:proofErr w:type="spellEnd"/>
      <w:r>
        <w:t xml:space="preserve"> u prostorije Doma kulture na katu u Svetoj Mariji, nabava novih svečanih zastava kao i presvlačenje stolica u Domu kulture u Donjem </w:t>
      </w:r>
      <w:proofErr w:type="spellStart"/>
      <w:r>
        <w:t>Mihaljevcu</w:t>
      </w:r>
      <w:proofErr w:type="spellEnd"/>
      <w:r>
        <w:t>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</w:t>
            </w:r>
            <w:r>
              <w:rPr>
                <w:b/>
                <w:sz w:val="18"/>
              </w:rPr>
              <w:t>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Službena, radna i zaštitna odjeća i obuća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78,6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Ove godine su kupljene samo radne cipele za spremačicu dok je tokom prošle godine kupljena radna odjeća i obuća za radnika na javnim radovima.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</w:t>
            </w:r>
            <w:r>
              <w:rPr>
                <w:b/>
                <w:sz w:val="18"/>
              </w:rPr>
              <w:t xml:space="preserve">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205.531,60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156.554,72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76,2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su za izvještajno razdoblje manji rashodi u odnosu na prošlogodišnje razdoblje u kojem se nabavljala i postavljala prometna signalizacija u oba naselja općine, u Svetoj Mariji se radilo na izgradnji oborinske kanalizacije u Ulici Rade Konč</w:t>
      </w:r>
      <w:r>
        <w:t xml:space="preserve">ara, na vanjskom dijelu vrtića i  u parkovima se sadilo ukrasno drveće te su se </w:t>
      </w:r>
      <w:proofErr w:type="spellStart"/>
      <w:r>
        <w:t>zavažali</w:t>
      </w:r>
      <w:proofErr w:type="spellEnd"/>
      <w:r>
        <w:t xml:space="preserve"> poljski putevi dok se ove godine za takvim uslugama nije bilo potrebe.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45.174,93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35.117,86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77,7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toj poziciji u oba izvještajna razdoblja su bilježeni rashodi za koje će se kasnije u rebalansu proračuna otvoriti nova konta. 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</w:t>
            </w:r>
            <w:r>
              <w:rPr>
                <w:b/>
                <w:sz w:val="18"/>
              </w:rPr>
              <w:t>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11.034,83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2.284,47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20,7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U prošlogodišnjem razdoblju su veći troškovi zbog isplata naknada članovima Općinskog izbornog povjerenstva i članovima biračkih odbora za lokalne izbore.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</w:t>
            </w:r>
            <w:r>
              <w:rPr>
                <w:b/>
                <w:sz w:val="18"/>
              </w:rPr>
              <w:t>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Članarine i norme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5.030,66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nema indeksa ostvarenja prošle godine iz razloga što su se kasnije otvorila konta na kojima se evidentiraju članarine što prije nije bilo.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</w:t>
            </w:r>
            <w:r>
              <w:rPr>
                <w:b/>
                <w:sz w:val="18"/>
              </w:rPr>
              <w:t>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1.478,93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2.819,92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190,7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Ove godine je veći iznos na ovoj poziciji u odnosu na prošlogodišnje razdoblje iz razloga što se tu evidentiraju usluge naplata Porezne uprave.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</w:t>
            </w:r>
            <w:r>
              <w:rPr>
                <w:b/>
                <w:sz w:val="18"/>
              </w:rPr>
              <w:t>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drugom proračunu i izvanproračunskim korisnicima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6.912,61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12.634,45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182,8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toj poziciji imamo povećanje u izvještajnom razdoblju a razlog je što je GKP PRE-KOM-u uplaćena donacija/pomoć za naknadu za odlaganje otpada prema postignutom dogovoru da su jedinice lokalne samouprave u sastavu GKP PRE-KOM d.o.o. preuzele obvezu podmi</w:t>
      </w:r>
      <w:r>
        <w:t>renja navedene naknade koja za nas iznosi 6.242,80 eura.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Tekuće pomoći proračunskim </w:t>
            </w:r>
            <w:r>
              <w:rPr>
                <w:sz w:val="18"/>
              </w:rPr>
              <w:t>korisnicima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7.327,00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25.434,16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347,1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Na ovaj poziciji imamo znatno povećanje u izvještajnom razdoblju a razlog je u plaćanju izrade Glavnog projekta energetske obnove Područne škole u Donjem </w:t>
      </w:r>
      <w:proofErr w:type="spellStart"/>
      <w:r>
        <w:t>Mihaljevcu</w:t>
      </w:r>
      <w:proofErr w:type="spellEnd"/>
      <w:r>
        <w:t xml:space="preserve"> u iznosu od 12.655,78 eura, trošak rekonstrukcije krovišta Područne škole Donji </w:t>
      </w:r>
      <w:proofErr w:type="spellStart"/>
      <w:r>
        <w:t>Mihaljevec</w:t>
      </w:r>
      <w:proofErr w:type="spellEnd"/>
      <w:r>
        <w:t xml:space="preserve"> </w:t>
      </w:r>
      <w:r>
        <w:t>u iznosu od 7.395,98 eura.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Prijenosi proračunskim korisnicima iz nadležnog proračuna </w:t>
            </w:r>
            <w:r>
              <w:rPr>
                <w:sz w:val="18"/>
              </w:rPr>
              <w:t>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131.695,00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209.477,68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159,1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Na ovoj poziciji imamo znatno povećanje u izvještajnom razdoblju a razlog povećanja je u ekonomskoj cijeni vrtićkih usluga koja je znatno porasla te u većem broju upisane djece u novootvorenu </w:t>
      </w:r>
      <w:proofErr w:type="spellStart"/>
      <w:r>
        <w:t>jasličnu</w:t>
      </w:r>
      <w:proofErr w:type="spellEnd"/>
      <w:r>
        <w:t xml:space="preserve"> skupinu.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82.393,20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54.442,26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66,1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je smanjenje za izvještajno razdoblje iz razloga što se ove godine javilo samo dvoje zainteresiranih za potporu za rekonstrukciju nekretnine što je znatno manju u odnosu na prošlu godinu kada ih je bilo 9. U protekloj godini se isplaćivala</w:t>
      </w:r>
      <w:r>
        <w:t xml:space="preserve"> naknada doktoru opće medicine dok je to ove godine izostalo. 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Tekuće donacije (šifre </w:t>
            </w:r>
            <w:r>
              <w:rPr>
                <w:sz w:val="18"/>
              </w:rPr>
              <w:t>3811 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102.548,33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140.045,17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136,6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lastRenderedPageBreak/>
        <w:t>Na ovoj poziciji imamo povećanje u odnosu na prošlogodišnje razdoblje a razlog tomu je u većim iznosima donacija udrugama civilnog društva, te je na toj poziciji evidentirana nabava za projekt "Zlatarske avanture" koja će se kasnije evidentirati na drugi k</w:t>
      </w:r>
      <w:r>
        <w:t>onto. 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 (šifre 3821 do 3824)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157,1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Povećanje na ovoj poziciji u izvještajnom razdoblju je zbog većih potreba sportskih društava koja su u većem broju prijavila svoje projekte za kapitalna ulaganja.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</w:t>
            </w:r>
            <w:r>
              <w:rPr>
                <w:b/>
                <w:sz w:val="18"/>
              </w:rPr>
              <w:t>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kreditnim i ostalim financijskim institucijama te trgovačkim društvima u javnom sektoru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3.238,88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Na ovoj poziciji nema indeksa ostvarenja za izvještajno razdoblje dok se u prošloj godini bilježi jedan zahtjev plaćanja za projekt "Aglomeracije" Donja Dubrava.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</w:t>
            </w:r>
            <w:r>
              <w:rPr>
                <w:b/>
                <w:sz w:val="18"/>
              </w:rPr>
              <w:t>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prodaje </w:t>
            </w:r>
            <w:proofErr w:type="spellStart"/>
            <w:r>
              <w:rPr>
                <w:sz w:val="18"/>
              </w:rPr>
              <w:t>neproizvedene</w:t>
            </w:r>
            <w:proofErr w:type="spellEnd"/>
            <w:r>
              <w:rPr>
                <w:sz w:val="18"/>
              </w:rPr>
              <w:t xml:space="preserve"> dugotrajne imovine (šifre 711+712)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2.540,00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Na ovoj poziciji nema indeks ostvarenja z </w:t>
      </w:r>
      <w:proofErr w:type="spellStart"/>
      <w:r>
        <w:t>aizvještajno</w:t>
      </w:r>
      <w:proofErr w:type="spellEnd"/>
      <w:r>
        <w:t xml:space="preserve"> razdoblje dok se za prošlu godinu bilježi prodaja građevinskog zemljišta.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Stambeni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169,69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655,35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386,2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>Povećanje na ovoj poziciji se odnosi na sredstva od prodaje stanova za koje postoji stanarsko pravo i ovisi o uplati stanara.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proizvedene dugotrajne imovine (šifre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160.120,78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450.602,03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281,4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Povećanje na ovoj poziciji za izvještajno razdoblje u odnosu na prošlogodišnje je zbog vanjskog i unutarnjeg opremanja nadograđenog dječjeg vrtića, nabave i ugradnje dječjih igrala po parkovima u oba naselja općine, nabave </w:t>
      </w:r>
      <w:proofErr w:type="spellStart"/>
      <w:r>
        <w:t>čamsa</w:t>
      </w:r>
      <w:proofErr w:type="spellEnd"/>
      <w:r>
        <w:t xml:space="preserve"> sa prikolicom za potrebe ci</w:t>
      </w:r>
      <w:r>
        <w:t>vilne zaštite te izmjene i dopune Prostornog plana uređenja Općine Sveta Marija. </w:t>
      </w:r>
    </w:p>
    <w:p w:rsidR="00F33AF0" w:rsidRDefault="00F33AF0"/>
    <w:p w:rsidR="00F33AF0" w:rsidRDefault="008F45E7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F33AF0" w:rsidRDefault="008F45E7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F33A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3AF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F33AF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dospjelih obveza na kraju izvještajnog razdoblja (šifre V008+D23+D24 + 'D </w:t>
            </w:r>
            <w:r>
              <w:rPr>
                <w:sz w:val="18"/>
              </w:rPr>
              <w:t>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18.643,75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F33AF0" w:rsidRDefault="008F45E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F33AF0" w:rsidRDefault="00F33AF0">
      <w:pPr>
        <w:spacing w:after="0"/>
      </w:pPr>
    </w:p>
    <w:p w:rsidR="00F33AF0" w:rsidRDefault="008F45E7">
      <w:r>
        <w:t xml:space="preserve">Stanje dospjelih obveza za izvještajno razdoblje iznose 18.643,75 eura. Iznos od 543,75 eura se odnosi na uslugu zamjene drvene građe na klupama u parkovima dok se iznos od 18.100,00 eura odnosi na lijevanje gumene podloge koje su se postavljale ispod </w:t>
      </w:r>
      <w:proofErr w:type="spellStart"/>
      <w:r>
        <w:t>djeć</w:t>
      </w:r>
      <w:r>
        <w:t>jih</w:t>
      </w:r>
      <w:proofErr w:type="spellEnd"/>
      <w:r>
        <w:t xml:space="preserve"> igrala. Oba računa su došla početkom listopada a imali su datum izdavanja tokom rujna s dospijećem plaćanja 30.09.2026. Oba računa su podmirena po zaprimanju početkom listopada 2026.g.</w:t>
      </w:r>
    </w:p>
    <w:p w:rsidR="00F33AF0" w:rsidRDefault="00F33AF0"/>
    <w:sectPr w:rsidR="00F3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AF0"/>
    <w:rsid w:val="008F45E7"/>
    <w:rsid w:val="00F3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488F0-03F1-4CD9-98DE-3B6D3C8B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2528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2026-10-15T09:51:00Z</dcterms:created>
  <dcterms:modified xsi:type="dcterms:W3CDTF">2026-10-15T09:51:00Z</dcterms:modified>
</cp:coreProperties>
</file>