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D7D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D7D62" w:rsidRDefault="00AE3C9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D7D62" w:rsidRDefault="00AE3C9B">
            <w:pPr>
              <w:spacing w:after="0" w:line="240" w:lineRule="auto"/>
            </w:pPr>
            <w:r>
              <w:t>33562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D7D62" w:rsidRDefault="00AE3C9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D7D62" w:rsidRDefault="00AE3C9B">
            <w:pPr>
              <w:spacing w:after="0" w:line="240" w:lineRule="auto"/>
            </w:pPr>
            <w:r>
              <w:t>OPĆINA SVETA MARIJA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D7D62" w:rsidRDefault="00AE3C9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D7D62" w:rsidRDefault="00AE3C9B">
            <w:pPr>
              <w:spacing w:after="0" w:line="240" w:lineRule="auto"/>
            </w:pPr>
            <w:r>
              <w:t>22</w:t>
            </w:r>
          </w:p>
        </w:tc>
      </w:tr>
    </w:tbl>
    <w:p w:rsidR="007D7D62" w:rsidRDefault="00AE3C9B">
      <w:r>
        <w:br/>
      </w:r>
    </w:p>
    <w:p w:rsidR="007D7D62" w:rsidRDefault="00AE3C9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D7D62" w:rsidRDefault="00AE3C9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D7D62" w:rsidRDefault="00AE3C9B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742.045,65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771.530,13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587.611,26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605.903,91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154.434,39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165.626,22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107,2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358,2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94.177,69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37.954,78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94.023,29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37.401,76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39,8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35.392,74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35.392,74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35.392,74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25.018,36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92.831,72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371,1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U izvještajnom razdoblju ukupni prihodi poslovanja (šifra 6) iznose 771.530,13 eura i veći su za 29.484,48 </w:t>
      </w:r>
      <w:proofErr w:type="spellStart"/>
      <w:r>
        <w:t>uera</w:t>
      </w:r>
      <w:proofErr w:type="spellEnd"/>
      <w:r>
        <w:t xml:space="preserve"> od prošlogodišnjih. Ukupni rashodi poslovanja  (šifra 3) iznose 605.903,91 euro i veći su za 18.292,65 eura od prošlogodišnjih. Za izvještajno r</w:t>
      </w:r>
      <w:r>
        <w:t>azdoblje bilježi se višak prihoda poslovanja (šifra X001) od 165.626,22 eura. Ukupni prihod od prodaje nefinancijske imovine (šifra 7) ostvaren je u iznosu od 553,02 eura i veći je za 398,62 euro od prošlogodišnjeg razdoblja. Ukupni rashod za nabavu nefina</w:t>
      </w:r>
      <w:r>
        <w:t xml:space="preserve">ncijske imovine (šifra 4) iznosi 37.954,78 eura i manji je za 56.222,91 euro u odnosu na prošlogodišnje razdoblje. Za </w:t>
      </w:r>
      <w:r>
        <w:lastRenderedPageBreak/>
        <w:t>izvještajno razdoblje bilježi se manjak prihoda od nefinancijske imovine (šifra Y002) u iznosu od 37.401,76 eura. U izvještajnom razdoblju</w:t>
      </w:r>
      <w:r>
        <w:t xml:space="preserve"> sisu ostvareni primici od financijske imovine i zaduživanja (šifra 8), dok su ukupni izdaci za financijsku imovinu i otplate zajmova (šifra 5) iznosili 35.392,74 eura. Za izvještajno razdoblje imamo manjak od financijske imovine i zaduživanja (šifra Y003)</w:t>
      </w:r>
      <w:r>
        <w:t xml:space="preserve"> u iznosu od 35.392,74 eura. Ukupni višak prihoda i primitaka (šifra X003) za izvještajno razdoblje iznosi 92.831,72 eura.</w:t>
      </w:r>
    </w:p>
    <w:p w:rsidR="007D7D62" w:rsidRDefault="00AE3C9B">
      <w:r>
        <w:t> </w:t>
      </w:r>
    </w:p>
    <w:p w:rsidR="007D7D62" w:rsidRDefault="00AE3C9B">
      <w:r>
        <w:br/>
      </w:r>
    </w:p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484.738,23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514.546,37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se bilježi porast prihoda a razlog je u povećanju plaća zaposlenih mještana općine i nova zapošljavanja.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nema indeksa ostvarenja jer se od ove godine naplaćuje porez na nekretnine.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se bilježi porast poreza na potrošnju alkoholnih i bezalkoholnih pića što ovisi o cijenama pića.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Iznos kamata po sredstvima na računu bilježi porast a razlog je poslovanje proračunskog korisnika preko jedinstvenog računa osnivača i količini novčanih sredstava na istom prema kamatnim stopama koje određuje banka.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imamo manje ostvarenog prihoda od prošlogodišnjeg razdoblja a odnosi se na manji prihod </w:t>
      </w:r>
      <w:proofErr w:type="spellStart"/>
      <w:r>
        <w:t>ostvren</w:t>
      </w:r>
      <w:proofErr w:type="spellEnd"/>
      <w:r>
        <w:t xml:space="preserve"> od naknade za korištenje prostora elektrana što ovisi o količini proizvedene energije.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343,8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imamo knjižene prihode za koje će se u rebalansu proračuna otvoriti nova konta pa će se prihodi rasporediti prema pripadajućim stavkama. Bilježi se veći prihod od prodaje predmeta s  motivom </w:t>
      </w:r>
      <w:proofErr w:type="spellStart"/>
      <w:r>
        <w:t>svetomarske</w:t>
      </w:r>
      <w:proofErr w:type="spellEnd"/>
      <w:r>
        <w:t xml:space="preserve"> čipke u odnosu na prošlogodišnje raz</w:t>
      </w:r>
      <w:r>
        <w:t>doblje.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U izvještajnom razdoblju bilježi se manji prihod s osnove komunalnog doprinosa što ovisi o izgradnji ili nadogradnji stambenih objekata.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Ovaj prihod ovisi o naplati naknade za uređenje voda obveznika čiji iznos doznačujemo Hrvatskim vodama.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U izvještajnom razdoblju nije bilo javnih radova pa ove godine nemamo indeks ostvarenja po toj osnovi.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imamo manji rashod u odnosu na prošlogodišnje razdoblje a razlog je isplata jubilarne nagrade (20 g. rada) zaposlenici u prošloj godini, i za "</w:t>
      </w:r>
      <w:proofErr w:type="spellStart"/>
      <w:r>
        <w:t>uskrsnice</w:t>
      </w:r>
      <w:proofErr w:type="spellEnd"/>
      <w:r>
        <w:t>" je isplaćen manji iznos u odnosu na prošlu godinu.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nema indeksa ostvarenja jer se u prošlogodišnjem razdoblju nije prisustvovalo seminaru.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18.744,19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22.864,56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pozicijama imamo veće rashode a to ovisi o cijenama energenata i sredstava za čišćenje i održavanje, dok se prošle godine sitni inventar nabavljao za opremanje prostora dječjeg vrtića, u izvještajnom razdoblju ove godine su se nabavljale rolo zavjese i </w:t>
      </w:r>
      <w:r>
        <w:t xml:space="preserve">klima uređaj za kat Doma kulture u Svetoj Mariji a za Dom kulture u Donjem </w:t>
      </w:r>
      <w:proofErr w:type="spellStart"/>
      <w:r>
        <w:t>Mihaljevcu</w:t>
      </w:r>
      <w:proofErr w:type="spellEnd"/>
      <w:r>
        <w:t xml:space="preserve"> je napravljena usluga presvlačenja stolica. Za potrebe dječjeg vrtića nabavljeni su komarnici, jarbol za Zelenu zastava i sašivena je nošnja za djecu.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11.269,49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22.782,06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202,2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Znatno su porasle usluge za objave u elektroničkim medijima i usluge objave oglasa i natječaja.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</w:t>
      </w:r>
      <w:proofErr w:type="spellStart"/>
      <w:r>
        <w:t>namamo</w:t>
      </w:r>
      <w:proofErr w:type="spellEnd"/>
      <w:r>
        <w:t xml:space="preserve"> indeks ostvarenja jer su ove godine otvorena nova konta za članarine.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244,8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imamo veći iznos u odnosu na prošlogodišnje razdoblje iz razloga što je na tom kontu zabilježena naplata 1% prihoda od poreza na dohodak koji će se rebalansom </w:t>
      </w:r>
      <w:proofErr w:type="spellStart"/>
      <w:r>
        <w:t>preknjižiti</w:t>
      </w:r>
      <w:proofErr w:type="spellEnd"/>
      <w:r>
        <w:t xml:space="preserve"> na odgovarajući konto. 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toj poziciji je prikazan trošak sufinanciranja komunalnog redara a visina troška ovisi o dostavljenom Zahtjevu.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Za izvještajno razdoblje imamo znatno manji iznos od prošlogodišnjeg a odnosi se na doznaku sredstava Osnovnoj školi Sveta Marija. U prošlogodišnjem razdoblju se pomoć odnosila na trošak povodom otvorenja školske sportske dvorane. 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132.676,68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Ove godine je veći iznos zbog većeg broja upisane djece (otvorena je nova </w:t>
      </w:r>
      <w:proofErr w:type="spellStart"/>
      <w:r>
        <w:t>jaslična</w:t>
      </w:r>
      <w:proofErr w:type="spellEnd"/>
      <w:r>
        <w:t xml:space="preserve"> skupina).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25.749,41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Ove godine se povodom Uskrsa isplaćivao novac umirovljenicima i osobama bez primanja dok je prošle godine to bilo u bonovima.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Ove godine je više sportskih društava i klubova podnijelo zahtjeve za kapitalne donacije a i DVD-u Donjeg </w:t>
      </w:r>
      <w:proofErr w:type="spellStart"/>
      <w:r>
        <w:t>Mihaljevca</w:t>
      </w:r>
      <w:proofErr w:type="spellEnd"/>
      <w:r>
        <w:t xml:space="preserve"> je data donacija od 30.000,00 eura za izgradnju vatrogasnog spremišta.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358,2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Prihod se odnosi na prodaju stanova bivše Općine Čakovec a visina ovisi o uplati stanara za koje postoji stanarsko pravo.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38.059,48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U prošlogodišnjem razdoblju su se završavali radovi na vanjskom i unutarnjem uređenju dječjeg vrtića (nadogradnja i rekonstrukcija).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ovoj poziciji nema indeksa ostvarenja a ove godine se rashod odnosi na početak realizacije projekta Centra izletničkog turizma.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47.173,46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10,3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U prošlogodišnjem razdoblju se opremao nadograđeni dio dječjeg vrtića.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nema indeksa ostvarenja a ove godine se nabavila oprema za civilnu zaštitu (DVD Donji </w:t>
      </w:r>
      <w:proofErr w:type="spellStart"/>
      <w:r>
        <w:t>Mihaljevec</w:t>
      </w:r>
      <w:proofErr w:type="spellEnd"/>
      <w:r>
        <w:t>).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 xml:space="preserve">Na ovoj poziciji nema indeksa </w:t>
      </w:r>
      <w:proofErr w:type="spellStart"/>
      <w:r>
        <w:t>ostvareenja</w:t>
      </w:r>
      <w:proofErr w:type="spellEnd"/>
      <w:r>
        <w:t xml:space="preserve"> a u prošlogodišnjem razdoblju se nabavilo električni moped za potrebe komunalnih poslova. 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Na toj poziciji nema indeks ostvarenja a ove godine se izrađuju III. izmjene i dopune Prostornog plana uređenja Općine Sveta Marija. 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Ove godine nema zaposlenih na javnim radovima. </w:t>
      </w:r>
    </w:p>
    <w:p w:rsidR="007D7D62" w:rsidRDefault="007D7D62"/>
    <w:p w:rsidR="007D7D62" w:rsidRDefault="00AE3C9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D7D62" w:rsidRDefault="00AE3C9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D7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7D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7D7D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D7D62" w:rsidRDefault="00AE3C9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D7D62" w:rsidRDefault="007D7D62">
      <w:pPr>
        <w:spacing w:after="0"/>
      </w:pPr>
    </w:p>
    <w:p w:rsidR="007D7D62" w:rsidRDefault="00AE3C9B">
      <w:r>
        <w:t>U izvještajnom razdoblju Općina Sveta Marija podmirila je sve dospjele obveze u roku plaćanja.</w:t>
      </w:r>
    </w:p>
    <w:p w:rsidR="007D7D62" w:rsidRDefault="007D7D62"/>
    <w:sectPr w:rsidR="007D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62"/>
    <w:rsid w:val="007D7D62"/>
    <w:rsid w:val="00A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0D5E9-4760-412E-8D37-6CAC7AD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2026-07-13T12:50:00Z</dcterms:created>
  <dcterms:modified xsi:type="dcterms:W3CDTF">2026-07-13T12:50:00Z</dcterms:modified>
</cp:coreProperties>
</file>